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C41728F"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95022F">
        <w:rPr>
          <w:rFonts w:ascii="Arial" w:hAnsi="Arial" w:cs="Arial"/>
          <w:b/>
          <w:bCs/>
          <w:sz w:val="20"/>
          <w:szCs w:val="20"/>
          <w:lang w:eastAsia="en-GB"/>
        </w:rPr>
        <w:t>6</w:t>
      </w:r>
    </w:p>
    <w:p w14:paraId="137D3196" w14:textId="532056F4"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5022F">
        <w:rPr>
          <w:rFonts w:ascii="Arial" w:hAnsi="Arial" w:cs="Arial"/>
          <w:b/>
          <w:bCs/>
          <w:sz w:val="20"/>
          <w:szCs w:val="20"/>
          <w:lang w:eastAsia="en-GB"/>
        </w:rPr>
        <w:t>12/08/2022</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5B4811E6" w:rsidR="00754729" w:rsidRPr="005E1E0E" w:rsidRDefault="000B4597"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Foundry Lane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A828E8E" w:rsidR="00E37206" w:rsidRPr="005E1E0E" w:rsidRDefault="000B4597" w:rsidP="00E37206">
      <w:pPr>
        <w:widowControl w:val="0"/>
        <w:spacing w:after="280"/>
        <w:rPr>
          <w:rFonts w:ascii="Arial" w:hAnsi="Arial" w:cs="Arial"/>
          <w:sz w:val="20"/>
          <w:szCs w:val="20"/>
        </w:rPr>
      </w:pPr>
      <w:r>
        <w:rPr>
          <w:rFonts w:ascii="Arial" w:hAnsi="Arial" w:cs="Arial"/>
          <w:sz w:val="20"/>
          <w:szCs w:val="20"/>
        </w:rPr>
        <w:t>Foundry Lane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E40334">
        <w:rPr>
          <w:rFonts w:cs="Arial"/>
        </w:rPr>
        <w:t>up to date</w:t>
      </w:r>
      <w:proofErr w:type="gramEnd"/>
      <w:r w:rsidRPr="00E40334">
        <w:rPr>
          <w:rFonts w:cs="Arial"/>
        </w:rPr>
        <w:t xml:space="preserv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E40334">
        <w:rPr>
          <w:rFonts w:cs="Arial"/>
        </w:rPr>
        <w:t>up to date</w:t>
      </w:r>
      <w:proofErr w:type="gramEnd"/>
      <w:r w:rsidRPr="00E40334">
        <w:rPr>
          <w:rFonts w:cs="Arial"/>
        </w:rPr>
        <w:t xml:space="preserv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B4597"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For more information about </w:t>
      </w:r>
      <w:proofErr w:type="gramStart"/>
      <w:r w:rsidRPr="004E2C36">
        <w:rPr>
          <w:rFonts w:ascii="Arial" w:hAnsi="Arial" w:cs="Arial"/>
          <w:sz w:val="20"/>
          <w:szCs w:val="20"/>
        </w:rPr>
        <w:t>data</w:t>
      </w:r>
      <w:proofErr w:type="gramEnd"/>
      <w:r w:rsidRPr="004E2C36">
        <w:rPr>
          <w:rFonts w:ascii="Arial" w:hAnsi="Arial" w:cs="Arial"/>
          <w:sz w:val="20"/>
          <w:szCs w:val="20"/>
        </w:rPr>
        <w:t xml:space="preserve">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12CA2FB4"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194D0A6" w14:textId="75155C59" w:rsidR="00F96D79" w:rsidRDefault="00F96D79" w:rsidP="003C5E88">
      <w:pPr>
        <w:pStyle w:val="selectionshareable"/>
        <w:spacing w:before="0" w:beforeAutospacing="0" w:after="0" w:afterAutospacing="0"/>
        <w:rPr>
          <w:rFonts w:ascii="Arial" w:hAnsi="Arial" w:cs="Arial"/>
          <w:sz w:val="20"/>
          <w:szCs w:val="20"/>
        </w:rPr>
      </w:pP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18036B40"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proofErr w:type="gramStart"/>
      <w:r w:rsidRPr="00E40334">
        <w:rPr>
          <w:rFonts w:ascii="Arial" w:hAnsi="Arial" w:cs="Arial"/>
          <w:sz w:val="20"/>
          <w:szCs w:val="20"/>
        </w:rPr>
        <w:t>in order to</w:t>
      </w:r>
      <w:proofErr w:type="gramEnd"/>
      <w:r w:rsidRPr="00E40334">
        <w:rPr>
          <w:rFonts w:ascii="Arial" w:hAnsi="Arial" w:cs="Arial"/>
          <w:sz w:val="20"/>
          <w:szCs w:val="20"/>
        </w:rPr>
        <w:t xml:space="preserve">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7"/>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38A3726C" w14:textId="7F5BC3CB" w:rsidR="00E40334" w:rsidRDefault="00E40334" w:rsidP="003A3C73">
      <w:pPr>
        <w:rPr>
          <w:rFonts w:ascii="Arial" w:hAnsi="Arial" w:cs="Arial"/>
          <w:sz w:val="20"/>
          <w:szCs w:val="20"/>
        </w:rPr>
      </w:pPr>
    </w:p>
    <w:p w14:paraId="7E733EC0" w14:textId="263B3D45" w:rsidR="0095022F" w:rsidRDefault="0095022F" w:rsidP="003A3C73">
      <w:pPr>
        <w:rPr>
          <w:rFonts w:ascii="Arial" w:hAnsi="Arial" w:cs="Arial"/>
          <w:sz w:val="20"/>
          <w:szCs w:val="20"/>
        </w:rPr>
      </w:pPr>
    </w:p>
    <w:p w14:paraId="49AA3ABC" w14:textId="229C20C1" w:rsidR="0095022F" w:rsidRDefault="0095022F" w:rsidP="003A3C73">
      <w:pPr>
        <w:rPr>
          <w:rFonts w:ascii="Arial" w:hAnsi="Arial" w:cs="Arial"/>
          <w:sz w:val="20"/>
          <w:szCs w:val="20"/>
        </w:rPr>
      </w:pPr>
    </w:p>
    <w:p w14:paraId="5AA15983" w14:textId="7AF3E8C7" w:rsidR="0095022F" w:rsidRDefault="0095022F" w:rsidP="003A3C73">
      <w:pPr>
        <w:rPr>
          <w:rFonts w:ascii="Arial" w:hAnsi="Arial" w:cs="Arial"/>
          <w:sz w:val="20"/>
          <w:szCs w:val="20"/>
        </w:rPr>
      </w:pPr>
    </w:p>
    <w:p w14:paraId="7A361399" w14:textId="77777777" w:rsidR="0095022F" w:rsidRDefault="0095022F"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B4597" w:rsidP="007A3DA9">
      <w:pPr>
        <w:rPr>
          <w:rFonts w:ascii="Arial" w:hAnsi="Arial" w:cs="Arial"/>
          <w:sz w:val="20"/>
          <w:szCs w:val="20"/>
        </w:rPr>
      </w:pPr>
      <w:hyperlink r:id="rId4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8"/>
  </w:num>
  <w:num w:numId="4">
    <w:abstractNumId w:val="12"/>
  </w:num>
  <w:num w:numId="5">
    <w:abstractNumId w:val="1"/>
  </w:num>
  <w:num w:numId="6">
    <w:abstractNumId w:val="27"/>
  </w:num>
  <w:num w:numId="7">
    <w:abstractNumId w:val="3"/>
  </w:num>
  <w:num w:numId="8">
    <w:abstractNumId w:val="2"/>
  </w:num>
  <w:num w:numId="9">
    <w:abstractNumId w:val="15"/>
  </w:num>
  <w:num w:numId="10">
    <w:abstractNumId w:val="0"/>
  </w:num>
  <w:num w:numId="11">
    <w:abstractNumId w:val="13"/>
  </w:num>
  <w:num w:numId="12">
    <w:abstractNumId w:val="24"/>
  </w:num>
  <w:num w:numId="13">
    <w:abstractNumId w:val="9"/>
  </w:num>
  <w:num w:numId="14">
    <w:abstractNumId w:val="29"/>
  </w:num>
  <w:num w:numId="15">
    <w:abstractNumId w:val="17"/>
  </w:num>
  <w:num w:numId="16">
    <w:abstractNumId w:val="23"/>
  </w:num>
  <w:num w:numId="17">
    <w:abstractNumId w:val="14"/>
  </w:num>
  <w:num w:numId="18">
    <w:abstractNumId w:val="30"/>
  </w:num>
  <w:num w:numId="19">
    <w:abstractNumId w:val="22"/>
  </w:num>
  <w:num w:numId="20">
    <w:abstractNumId w:val="10"/>
  </w:num>
  <w:num w:numId="21">
    <w:abstractNumId w:val="7"/>
  </w:num>
  <w:num w:numId="22">
    <w:abstractNumId w:val="19"/>
  </w:num>
  <w:num w:numId="23">
    <w:abstractNumId w:val="16"/>
  </w:num>
  <w:num w:numId="24">
    <w:abstractNumId w:val="8"/>
  </w:num>
  <w:num w:numId="25">
    <w:abstractNumId w:val="20"/>
  </w:num>
  <w:num w:numId="26">
    <w:abstractNumId w:val="11"/>
  </w:num>
  <w:num w:numId="27">
    <w:abstractNumId w:val="26"/>
  </w:num>
  <w:num w:numId="28">
    <w:abstractNumId w:val="6"/>
  </w:num>
  <w:num w:numId="29">
    <w:abstractNumId w:val="4"/>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597"/>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ico.org.uk/" TargetMode="Externa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mailto:Couldrey@me.com"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9468</Words>
  <Characters>53970</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HARVEY, Michaela (FOUNDRY LANE SURGERY)</cp:lastModifiedBy>
  <cp:revision>2</cp:revision>
  <cp:lastPrinted>2019-06-13T09:46:00Z</cp:lastPrinted>
  <dcterms:created xsi:type="dcterms:W3CDTF">2022-08-17T07:41:00Z</dcterms:created>
  <dcterms:modified xsi:type="dcterms:W3CDTF">2022-08-17T07:41:00Z</dcterms:modified>
</cp:coreProperties>
</file>